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E11F9C" w:rsidRPr="00D541B8" w:rsidTr="00FC777E">
        <w:tc>
          <w:tcPr>
            <w:tcW w:w="9212" w:type="dxa"/>
          </w:tcPr>
          <w:p w:rsidR="00E11F9C" w:rsidRPr="000379F0" w:rsidRDefault="00E11F9C" w:rsidP="00FC777E">
            <w:pPr>
              <w:spacing w:line="360" w:lineRule="auto"/>
              <w:jc w:val="both"/>
              <w:rPr>
                <w:rFonts w:asciiTheme="majorBidi" w:hAnsiTheme="majorBidi" w:cstheme="majorBidi"/>
                <w:color w:val="00B050"/>
                <w:sz w:val="32"/>
                <w:szCs w:val="32"/>
              </w:rPr>
            </w:pPr>
            <w:r w:rsidRPr="000379F0">
              <w:rPr>
                <w:rFonts w:asciiTheme="majorBidi" w:hAnsiTheme="majorBidi" w:cstheme="majorBidi"/>
                <w:b/>
                <w:bCs/>
                <w:color w:val="00B050"/>
                <w:sz w:val="32"/>
                <w:szCs w:val="32"/>
              </w:rPr>
              <w:t xml:space="preserve">     Rappel méthodologique et consignes </w:t>
            </w:r>
            <w:r w:rsidRPr="000379F0">
              <w:rPr>
                <w:rFonts w:asciiTheme="majorBidi" w:hAnsiTheme="majorBidi" w:cstheme="majorBidi"/>
                <w:color w:val="00B050"/>
                <w:sz w:val="32"/>
                <w:szCs w:val="32"/>
              </w:rPr>
              <w:t xml:space="preserve">    Master formation </w:t>
            </w:r>
          </w:p>
        </w:tc>
      </w:tr>
    </w:tbl>
    <w:p w:rsidR="00E11F9C" w:rsidRDefault="00E11F9C" w:rsidP="00E11F9C">
      <w:pPr>
        <w:spacing w:line="360" w:lineRule="auto"/>
        <w:jc w:val="both"/>
        <w:rPr>
          <w:rFonts w:asciiTheme="majorBidi" w:hAnsiTheme="majorBidi" w:cstheme="majorBidi"/>
          <w:sz w:val="32"/>
          <w:szCs w:val="32"/>
        </w:rPr>
      </w:pPr>
      <w:r>
        <w:rPr>
          <w:rFonts w:asciiTheme="majorBidi" w:hAnsiTheme="majorBidi" w:cstheme="majorBidi"/>
          <w:sz w:val="32"/>
          <w:szCs w:val="32"/>
        </w:rPr>
        <w:t xml:space="preserve">     Psychologie ……options confondues …………………..</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32"/>
          <w:szCs w:val="32"/>
        </w:rPr>
        <w:t>N</w:t>
      </w:r>
      <w:r>
        <w:rPr>
          <w:rFonts w:asciiTheme="majorBidi" w:hAnsiTheme="majorBidi" w:cstheme="majorBidi"/>
          <w:sz w:val="24"/>
          <w:szCs w:val="24"/>
        </w:rPr>
        <w:t>ous rappelons l’ensemble des étudiants inscrits en Mas</w:t>
      </w:r>
      <w:r>
        <w:rPr>
          <w:rStyle w:val="Appelnotedebasdep"/>
          <w:rFonts w:asciiTheme="majorBidi" w:hAnsiTheme="majorBidi" w:cstheme="majorBidi"/>
          <w:sz w:val="24"/>
          <w:szCs w:val="24"/>
        </w:rPr>
        <w:footnoteReference w:id="2"/>
      </w:r>
      <w:r>
        <w:rPr>
          <w:rFonts w:asciiTheme="majorBidi" w:hAnsiTheme="majorBidi" w:cstheme="majorBidi"/>
          <w:sz w:val="24"/>
          <w:szCs w:val="24"/>
        </w:rPr>
        <w:t>ter que cette formation n’est plus ancrée dans une forme théorique , au contraire , au-delà des préjugés et toutes les représentations stéréotypées, notre volonté s’inscrit dans un sens plus pragmatique que vouloir tenter de faire de l’étudiant « un étudiant chercheur » est un projet que l’on vise principalement mettre en œuvre , ce qui peut définir l’idée de Master étant une formation à part entière dont les axes forts déterminant ce volet est primordialement lié à la rec</w:t>
      </w:r>
      <w:r>
        <w:rPr>
          <w:rStyle w:val="Appelnotedebasdep"/>
          <w:rFonts w:asciiTheme="majorBidi" w:hAnsiTheme="majorBidi" w:cstheme="majorBidi"/>
          <w:sz w:val="24"/>
          <w:szCs w:val="24"/>
        </w:rPr>
        <w:footnoteReference w:id="3"/>
      </w:r>
      <w:r>
        <w:rPr>
          <w:rFonts w:asciiTheme="majorBidi" w:hAnsiTheme="majorBidi" w:cstheme="majorBidi"/>
          <w:sz w:val="24"/>
          <w:szCs w:val="24"/>
        </w:rPr>
        <w:t xml:space="preserve">herche , plutôt envisager des situations pluridimensionnelles dont il convient à la fois de définir Master théoriquement et faire en sorte que les situation en corrélation en sont les prolongement théorique et logique . </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Master est d’abord médiation (passerelle) entre les années théoriques et ce qui devrait permettre sous des formes variées d’envisager des situations qui tiennent comte de la psychologie (éducation, clinique et ou orthophonie) dont nous privilégions un « </w:t>
      </w:r>
      <w:r w:rsidRPr="009659E4">
        <w:rPr>
          <w:rFonts w:asciiTheme="majorBidi" w:hAnsiTheme="majorBidi" w:cstheme="majorBidi"/>
          <w:sz w:val="24"/>
          <w:szCs w:val="24"/>
          <w:u w:val="single"/>
        </w:rPr>
        <w:t>contexte</w:t>
      </w:r>
      <w:r>
        <w:rPr>
          <w:rFonts w:asciiTheme="majorBidi" w:hAnsiTheme="majorBidi" w:cstheme="majorBidi"/>
          <w:sz w:val="24"/>
          <w:szCs w:val="24"/>
        </w:rPr>
        <w:t> ».</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 d’autres termes, contexte signifie qu’il va y avoir une solide relation entre l’étudiant –chercheur et toutes ces situations de recherches qui sont le lien permanant entre les années précédentes et les années futures en matière d’un travail dit réflexif ; c’est permettre un ancrage théorique sous un angle lié à des situations qui sont d’emblée définissable dans un contexte plus pratique mais une pratique que l’on veut qu’elle soit authentique et qui sort du carcan  de la répétition. Dans ce sens , nous viserons attirer l’attention des étudiants qu’une formation de cette taille n’est plus à théoriser mais au contraire une théorie placée dans un contexte en rapport avec la discipline susceptible de donner une forme significative à la matière enseignée précédemment et qui prend un autre visage mais capable de définir toutes ces situations problématiques en rapport avec l’individu et son psychique, toutes ces formes d’être et toutes ces formes pathologiques que l’on retrouve à notre échelle. Très fort est de constater qu’une forme de recherche n’est plus que lorsqu’elle est clairement définie sur la base des ingrédients qui lui sont propres et qui sont le propre du chercheur qui compte </w:t>
      </w:r>
      <w:r>
        <w:rPr>
          <w:rFonts w:asciiTheme="majorBidi" w:hAnsiTheme="majorBidi" w:cstheme="majorBidi"/>
          <w:sz w:val="24"/>
          <w:szCs w:val="24"/>
        </w:rPr>
        <w:lastRenderedPageBreak/>
        <w:t xml:space="preserve">véritablement être appliqué (e) dans un sens de donner une nouvelle vision à toutes ces formes théoriques à travers des situations à </w:t>
      </w:r>
      <w:r w:rsidRPr="00BB7E7A">
        <w:rPr>
          <w:rFonts w:asciiTheme="majorBidi" w:hAnsiTheme="majorBidi" w:cstheme="majorBidi"/>
          <w:sz w:val="24"/>
          <w:szCs w:val="24"/>
          <w:u w:val="single"/>
        </w:rPr>
        <w:t>thématiser</w:t>
      </w:r>
      <w:r>
        <w:rPr>
          <w:rFonts w:asciiTheme="majorBidi" w:hAnsiTheme="majorBidi" w:cstheme="majorBidi"/>
          <w:sz w:val="24"/>
          <w:szCs w:val="24"/>
        </w:rPr>
        <w:t xml:space="preserve"> et à travers une nouvelle structure dont un aspect  méthodologique est à préciser primordialement.   </w:t>
      </w:r>
    </w:p>
    <w:p w:rsidR="00E11F9C" w:rsidRDefault="00E11F9C" w:rsidP="00E11F9C">
      <w:pPr>
        <w:spacing w:line="360" w:lineRule="auto"/>
        <w:jc w:val="both"/>
        <w:rPr>
          <w:rFonts w:asciiTheme="majorBidi" w:hAnsiTheme="majorBidi" w:cstheme="majorBidi"/>
          <w:sz w:val="24"/>
          <w:szCs w:val="24"/>
        </w:rPr>
      </w:pPr>
    </w:p>
    <w:p w:rsidR="00E11F9C" w:rsidRDefault="00E11F9C" w:rsidP="00E11F9C">
      <w:pPr>
        <w:spacing w:line="360" w:lineRule="auto"/>
        <w:jc w:val="both"/>
        <w:rPr>
          <w:rFonts w:asciiTheme="majorBidi" w:hAnsiTheme="majorBidi" w:cstheme="majorBidi"/>
          <w:sz w:val="24"/>
          <w:szCs w:val="24"/>
        </w:rPr>
      </w:pPr>
    </w:p>
    <w:p w:rsidR="00E11F9C" w:rsidRDefault="00E11F9C" w:rsidP="00E11F9C">
      <w:pPr>
        <w:spacing w:line="360" w:lineRule="auto"/>
        <w:jc w:val="both"/>
        <w:rPr>
          <w:rFonts w:asciiTheme="majorBidi" w:hAnsiTheme="majorBidi" w:cstheme="majorBidi"/>
          <w:sz w:val="24"/>
          <w:szCs w:val="24"/>
        </w:rPr>
      </w:pPr>
    </w:p>
    <w:tbl>
      <w:tblPr>
        <w:tblStyle w:val="Grilledutableau"/>
        <w:tblW w:w="0" w:type="auto"/>
        <w:tblLook w:val="04A0"/>
      </w:tblPr>
      <w:tblGrid>
        <w:gridCol w:w="9212"/>
      </w:tblGrid>
      <w:tr w:rsidR="00E11F9C" w:rsidRPr="007E0D4C" w:rsidTr="00FC777E">
        <w:tc>
          <w:tcPr>
            <w:tcW w:w="9212" w:type="dxa"/>
          </w:tcPr>
          <w:p w:rsidR="00E11F9C" w:rsidRPr="007E0D4C" w:rsidRDefault="00E11F9C" w:rsidP="00FC777E">
            <w:pPr>
              <w:spacing w:line="360" w:lineRule="auto"/>
              <w:jc w:val="both"/>
              <w:rPr>
                <w:rFonts w:asciiTheme="majorBidi" w:hAnsiTheme="majorBidi" w:cstheme="majorBidi"/>
                <w:b/>
                <w:bCs/>
                <w:sz w:val="24"/>
                <w:szCs w:val="24"/>
              </w:rPr>
            </w:pPr>
            <w:r w:rsidRPr="007E0D4C">
              <w:rPr>
                <w:rFonts w:asciiTheme="majorBidi" w:hAnsiTheme="majorBidi" w:cstheme="majorBidi"/>
                <w:b/>
                <w:bCs/>
                <w:sz w:val="24"/>
                <w:szCs w:val="24"/>
              </w:rPr>
              <w:t xml:space="preserve">         Méthodologie et méthodologie de recherche en psychologie </w:t>
            </w:r>
            <w:r>
              <w:rPr>
                <w:rFonts w:asciiTheme="majorBidi" w:hAnsiTheme="majorBidi" w:cstheme="majorBidi"/>
                <w:b/>
                <w:bCs/>
                <w:sz w:val="24"/>
                <w:szCs w:val="24"/>
              </w:rPr>
              <w:t xml:space="preserve"> niveau Master </w:t>
            </w:r>
          </w:p>
        </w:tc>
      </w:tr>
    </w:tbl>
    <w:p w:rsidR="00E11F9C" w:rsidRDefault="00E11F9C" w:rsidP="00E11F9C">
      <w:pPr>
        <w:spacing w:line="360" w:lineRule="auto"/>
        <w:jc w:val="both"/>
        <w:rPr>
          <w:rFonts w:asciiTheme="majorBidi" w:hAnsiTheme="majorBidi" w:cstheme="majorBidi"/>
          <w:sz w:val="24"/>
          <w:szCs w:val="24"/>
        </w:rPr>
      </w:pP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Ne ce reste qu’ici que pouvoir faire la distinction entre méthodologie et méthode dont il convient de souligner l’aspect marquant d’une méthodologie étant à la base de la conception d’un travail réflexif inscrit dans un contexte qui le détermine selon les modalités de recherche mises en place par l’étudiant dans un sens lié à son domaine de recherche.</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Très fort est de constater qu’il y a diverses formes se rapportant à « méthodologie » dont l’aspect marquant est ,bien évidemment, les multiples visions à appliquer sur un travail de recherche dont le fil conducteur est « thème de recherche » qui doit permettre d’envisager une forme et des étapes qui doivent être enchainées selon une logique qui relève de la psychologie comme domaine de recherche , compte tenu l’interdisciplinarité et la notion du contexte.</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Ces acronymes sont à définir car il convient de connaitre toutes ces définition afin d’éviter des dérapages méthodologiques ou des bricolages qui ne sont plus de l’ordre d’une recherche dans son sens le plus académique. </w:t>
      </w:r>
    </w:p>
    <w:tbl>
      <w:tblPr>
        <w:tblW w:w="984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49"/>
      </w:tblGrid>
      <w:tr w:rsidR="00E11F9C" w:rsidTr="00FC777E">
        <w:trPr>
          <w:trHeight w:val="1603"/>
        </w:trPr>
        <w:tc>
          <w:tcPr>
            <w:tcW w:w="9849" w:type="dxa"/>
          </w:tcPr>
          <w:p w:rsidR="00E11F9C" w:rsidRDefault="00E11F9C" w:rsidP="00FC777E">
            <w:pPr>
              <w:spacing w:line="360" w:lineRule="auto"/>
              <w:ind w:left="126"/>
              <w:jc w:val="both"/>
              <w:rPr>
                <w:rFonts w:asciiTheme="majorBidi" w:hAnsiTheme="majorBidi" w:cstheme="majorBidi"/>
                <w:sz w:val="24"/>
                <w:szCs w:val="24"/>
                <w:highlight w:val="cyan"/>
              </w:rPr>
            </w:pPr>
            <w:r w:rsidRPr="005A2E83">
              <w:rPr>
                <w:rFonts w:asciiTheme="majorBidi" w:hAnsiTheme="majorBidi" w:cstheme="majorBidi"/>
                <w:color w:val="FF0000"/>
                <w:sz w:val="24"/>
                <w:szCs w:val="24"/>
                <w:highlight w:val="cyan"/>
              </w:rPr>
              <w:t>NOMENCLATURE</w:t>
            </w:r>
            <w:r>
              <w:rPr>
                <w:rFonts w:asciiTheme="majorBidi" w:hAnsiTheme="majorBidi" w:cstheme="majorBidi"/>
                <w:sz w:val="24"/>
                <w:szCs w:val="24"/>
                <w:highlight w:val="cyan"/>
              </w:rPr>
              <w:t xml:space="preserve"> .</w:t>
            </w:r>
          </w:p>
          <w:p w:rsidR="00E11F9C" w:rsidRPr="00CA0909" w:rsidRDefault="00E11F9C" w:rsidP="00FC777E">
            <w:pPr>
              <w:spacing w:line="360" w:lineRule="auto"/>
              <w:ind w:left="126"/>
              <w:jc w:val="both"/>
              <w:rPr>
                <w:rFonts w:asciiTheme="majorBidi" w:hAnsiTheme="majorBidi" w:cstheme="majorBidi"/>
                <w:sz w:val="24"/>
                <w:szCs w:val="24"/>
                <w:highlight w:val="cyan"/>
              </w:rPr>
            </w:pPr>
            <w:r w:rsidRPr="00CA0909">
              <w:rPr>
                <w:rFonts w:asciiTheme="majorBidi" w:hAnsiTheme="majorBidi" w:cstheme="majorBidi"/>
                <w:sz w:val="24"/>
                <w:szCs w:val="24"/>
                <w:highlight w:val="cyan"/>
              </w:rPr>
              <w:t>Thème de recherche-méthodologie-méthodes-approche-technique-matériel utilisé-outil de recherche-terrain-théorie(s)- échantillon de recherche-questionnaire-public visé- problématique-hypothèses de sens- étude appliquée- inférences – référence (s) -  modalité de traitement de l’information et connaissances &amp; ou ressources en psychologie.</w:t>
            </w:r>
            <w:r>
              <w:rPr>
                <w:rFonts w:asciiTheme="majorBidi" w:hAnsiTheme="majorBidi" w:cstheme="majorBidi"/>
                <w:sz w:val="24"/>
                <w:szCs w:val="24"/>
                <w:highlight w:val="cyan"/>
              </w:rPr>
              <w:t xml:space="preserve"> Mot-clé.</w:t>
            </w:r>
          </w:p>
        </w:tc>
      </w:tr>
    </w:tbl>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Faire le lien entre les éléments indiqués ci-dessus revient à définir l’objectif d’une recherche et le terrain d’application correspondant à l’étude exquise comme telle dans un sens de </w:t>
      </w:r>
      <w:r>
        <w:rPr>
          <w:rFonts w:asciiTheme="majorBidi" w:hAnsiTheme="majorBidi" w:cstheme="majorBidi"/>
          <w:sz w:val="24"/>
          <w:szCs w:val="24"/>
        </w:rPr>
        <w:lastRenderedPageBreak/>
        <w:t>remettre en question une situation qui peut construire Object de recherche dans le domaine de la psychologie (clinique, éducation, orthophonie)  sans nier l’étude de cas et le diagnostic comme ingrédients qui donnent un déclic pertinent à la recherche envisagée sans pour autant nier les ressources théoriques qui sont les balises ou le levier de toutes ces actions à l’égard du travail réflexif dans un sens scientifique propre à la psychologie.</w:t>
      </w:r>
    </w:p>
    <w:tbl>
      <w:tblPr>
        <w:tblStyle w:val="Grilledutableau"/>
        <w:tblW w:w="0" w:type="auto"/>
        <w:tblLook w:val="04A0"/>
      </w:tblPr>
      <w:tblGrid>
        <w:gridCol w:w="9212"/>
      </w:tblGrid>
      <w:tr w:rsidR="00E11F9C" w:rsidRPr="00FB6300" w:rsidTr="00FC777E">
        <w:tc>
          <w:tcPr>
            <w:tcW w:w="9212" w:type="dxa"/>
          </w:tcPr>
          <w:p w:rsidR="00E11F9C" w:rsidRPr="003C1D1A" w:rsidRDefault="00E11F9C" w:rsidP="00FC777E">
            <w:pPr>
              <w:spacing w:line="360" w:lineRule="auto"/>
              <w:jc w:val="both"/>
              <w:rPr>
                <w:rFonts w:asciiTheme="majorBidi" w:hAnsiTheme="majorBidi" w:cstheme="majorBidi"/>
                <w:b/>
                <w:bCs/>
                <w:sz w:val="24"/>
                <w:szCs w:val="24"/>
                <w:highlight w:val="magenta"/>
              </w:rPr>
            </w:pPr>
            <w:r w:rsidRPr="003C1D1A">
              <w:rPr>
                <w:rFonts w:asciiTheme="majorBidi" w:hAnsiTheme="majorBidi" w:cstheme="majorBidi"/>
                <w:b/>
                <w:bCs/>
                <w:sz w:val="24"/>
                <w:szCs w:val="24"/>
                <w:highlight w:val="magenta"/>
              </w:rPr>
              <w:t xml:space="preserve">                                 Entrainement et exercices d’application :</w:t>
            </w:r>
          </w:p>
        </w:tc>
      </w:tr>
    </w:tbl>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Nous vous rappelons en guise de donner une forme plus significative à tous ces aspects théoriques / Théorisés que les formes pratiques qui doivent correspondre à l’ensemble des situations sont objets à une thématisation</w:t>
      </w:r>
      <w:r>
        <w:rPr>
          <w:rStyle w:val="Appelnotedebasdep"/>
          <w:rFonts w:asciiTheme="majorBidi" w:hAnsiTheme="majorBidi" w:cstheme="majorBidi"/>
          <w:sz w:val="24"/>
          <w:szCs w:val="24"/>
        </w:rPr>
        <w:footnoteReference w:id="4"/>
      </w:r>
      <w:r>
        <w:rPr>
          <w:rFonts w:asciiTheme="majorBidi" w:hAnsiTheme="majorBidi" w:cstheme="majorBidi"/>
          <w:sz w:val="24"/>
          <w:szCs w:val="24"/>
        </w:rPr>
        <w:t>.Or, il convient de préciser encore la technique qui au nom de laquelle un choix a été fait, une décision a été encore prise dans ce vaste ensemble de données susceptibles de donner à l’étudiant une lumière pour passer à la recherche ou y accéder correctement de manière à donner un nom et forme à la recherche envisagée ou esquissée dans le domaine de la psychologie.</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D’un point de vue plus précis et pour être objectif dans ce sens , nous vous proposerons par la suite des situations très diverses qui vous donneront la possibilité de saisir le sens de la recherche et d’en maitriser les étapes.</w:t>
      </w:r>
    </w:p>
    <w:p w:rsidR="00E11F9C" w:rsidRPr="00316DB0" w:rsidRDefault="00E11F9C" w:rsidP="00E11F9C">
      <w:pPr>
        <w:spacing w:line="360" w:lineRule="auto"/>
        <w:jc w:val="both"/>
        <w:rPr>
          <w:rFonts w:asciiTheme="majorBidi" w:hAnsiTheme="majorBidi" w:cstheme="majorBidi"/>
          <w:b/>
          <w:bCs/>
          <w:sz w:val="24"/>
          <w:szCs w:val="24"/>
        </w:rPr>
      </w:pPr>
      <w:r w:rsidRPr="00316DB0">
        <w:rPr>
          <w:rFonts w:asciiTheme="majorBidi" w:hAnsiTheme="majorBidi" w:cstheme="majorBidi"/>
          <w:b/>
          <w:bCs/>
          <w:sz w:val="24"/>
          <w:szCs w:val="24"/>
        </w:rPr>
        <w:t>Psychologie Master 2 ……………………….</w:t>
      </w:r>
    </w:p>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nombre accru des situations à proposer pour le chercheur sont est définissable dans des formes très variées dans le domaine de la psychologie, ainsi la règle d’or qui semble guider la réflexion de l’étudiant est comment à partir d’une situation actualisée on peut concevoir ou envisager une recherche qui mérite son nom, quelles astuces faut-il appliquer pour que cette recherche puisse servir notre quotidien et pouvoir résoudre toutes ces situations problématiques dans la société qui est anthropologiquement définissable suivant un rythme vital, des habitudes, des mentalités, une langues, des interactions humainement perceptibles, des situations sanitaires, une politique managériale, des buts envisagés ; une communication, un code social &amp; ou familial, un jargon , des influences diverses, une politique (terme polysémique) et enfin des formes concurrentielles à mandater suivant le caractère humain et </w:t>
      </w:r>
      <w:r>
        <w:rPr>
          <w:rFonts w:asciiTheme="majorBidi" w:hAnsiTheme="majorBidi" w:cstheme="majorBidi"/>
          <w:sz w:val="24"/>
          <w:szCs w:val="24"/>
        </w:rPr>
        <w:lastRenderedPageBreak/>
        <w:t xml:space="preserve">suivant un certain nombre de données placées dans des contextes qui relèvent notamment de plusieurs aspects de la vie des individus sans pour autant nier les interactions envisagées et les comportements des uns et des autres .         </w:t>
      </w:r>
    </w:p>
    <w:tbl>
      <w:tblPr>
        <w:tblStyle w:val="Grilledutableau"/>
        <w:tblW w:w="0" w:type="auto"/>
        <w:tblLook w:val="04A0"/>
      </w:tblPr>
      <w:tblGrid>
        <w:gridCol w:w="2303"/>
        <w:gridCol w:w="2303"/>
        <w:gridCol w:w="2303"/>
        <w:gridCol w:w="2303"/>
      </w:tblGrid>
      <w:tr w:rsidR="00E11F9C" w:rsidTr="00FC777E">
        <w:tc>
          <w:tcPr>
            <w:tcW w:w="2303" w:type="dxa"/>
          </w:tcPr>
          <w:p w:rsidR="00E11F9C" w:rsidRDefault="00E11F9C" w:rsidP="00FC777E">
            <w:pPr>
              <w:spacing w:line="360" w:lineRule="auto"/>
              <w:jc w:val="both"/>
              <w:rPr>
                <w:rFonts w:asciiTheme="majorBidi" w:hAnsiTheme="majorBidi" w:cstheme="majorBidi"/>
                <w:sz w:val="24"/>
                <w:szCs w:val="24"/>
              </w:rPr>
            </w:pPr>
            <w:r w:rsidRPr="006921F5">
              <w:rPr>
                <w:rFonts w:asciiTheme="majorBidi" w:hAnsiTheme="majorBidi" w:cstheme="majorBidi"/>
                <w:sz w:val="24"/>
                <w:szCs w:val="24"/>
                <w:highlight w:val="red"/>
              </w:rPr>
              <w:t>CLINIQUE</w:t>
            </w:r>
            <w:r>
              <w:rPr>
                <w:rFonts w:asciiTheme="majorBidi" w:hAnsiTheme="majorBidi" w:cstheme="majorBidi"/>
                <w:sz w:val="24"/>
                <w:szCs w:val="24"/>
              </w:rPr>
              <w:t xml:space="preserve"> </w:t>
            </w:r>
          </w:p>
        </w:tc>
        <w:tc>
          <w:tcPr>
            <w:tcW w:w="2303" w:type="dxa"/>
          </w:tcPr>
          <w:p w:rsidR="00E11F9C" w:rsidRPr="006921F5" w:rsidRDefault="00E11F9C" w:rsidP="00FC777E">
            <w:pPr>
              <w:spacing w:line="360" w:lineRule="auto"/>
              <w:jc w:val="both"/>
              <w:rPr>
                <w:rFonts w:asciiTheme="majorBidi" w:hAnsiTheme="majorBidi" w:cstheme="majorBidi"/>
                <w:sz w:val="24"/>
                <w:szCs w:val="24"/>
                <w:highlight w:val="yellow"/>
              </w:rPr>
            </w:pPr>
            <w:r w:rsidRPr="006921F5">
              <w:rPr>
                <w:rFonts w:asciiTheme="majorBidi" w:hAnsiTheme="majorBidi" w:cstheme="majorBidi"/>
                <w:sz w:val="24"/>
                <w:szCs w:val="24"/>
                <w:highlight w:val="yellow"/>
              </w:rPr>
              <w:t>SCOLAIRE/ EDUCATION</w:t>
            </w:r>
          </w:p>
        </w:tc>
        <w:tc>
          <w:tcPr>
            <w:tcW w:w="2303" w:type="dxa"/>
          </w:tcPr>
          <w:p w:rsidR="00E11F9C" w:rsidRPr="006921F5" w:rsidRDefault="00E11F9C" w:rsidP="00FC777E">
            <w:pPr>
              <w:spacing w:line="360" w:lineRule="auto"/>
              <w:jc w:val="both"/>
              <w:rPr>
                <w:rFonts w:asciiTheme="majorBidi" w:hAnsiTheme="majorBidi" w:cstheme="majorBidi"/>
                <w:sz w:val="24"/>
                <w:szCs w:val="24"/>
                <w:highlight w:val="darkMagenta"/>
              </w:rPr>
            </w:pPr>
            <w:r w:rsidRPr="006921F5">
              <w:rPr>
                <w:rFonts w:asciiTheme="majorBidi" w:hAnsiTheme="majorBidi" w:cstheme="majorBidi"/>
                <w:sz w:val="24"/>
                <w:szCs w:val="24"/>
                <w:highlight w:val="darkMagenta"/>
              </w:rPr>
              <w:t xml:space="preserve"> CONCELLING </w:t>
            </w:r>
          </w:p>
        </w:tc>
        <w:tc>
          <w:tcPr>
            <w:tcW w:w="2303" w:type="dxa"/>
          </w:tcPr>
          <w:p w:rsidR="00E11F9C" w:rsidRPr="006921F5" w:rsidRDefault="00E11F9C" w:rsidP="00FC777E">
            <w:pPr>
              <w:spacing w:line="360" w:lineRule="auto"/>
              <w:jc w:val="both"/>
              <w:rPr>
                <w:rFonts w:asciiTheme="majorBidi" w:hAnsiTheme="majorBidi" w:cstheme="majorBidi"/>
                <w:sz w:val="24"/>
                <w:szCs w:val="24"/>
                <w:highlight w:val="darkGreen"/>
              </w:rPr>
            </w:pPr>
            <w:r w:rsidRPr="006921F5">
              <w:rPr>
                <w:rFonts w:asciiTheme="majorBidi" w:hAnsiTheme="majorBidi" w:cstheme="majorBidi"/>
                <w:sz w:val="24"/>
                <w:szCs w:val="24"/>
                <w:highlight w:val="darkGreen"/>
              </w:rPr>
              <w:t>ORAGANISATION ET TRAVAIL</w:t>
            </w:r>
          </w:p>
        </w:tc>
      </w:tr>
      <w:tr w:rsidR="00E11F9C" w:rsidTr="00FC777E">
        <w:tc>
          <w:tcPr>
            <w:tcW w:w="2303" w:type="dxa"/>
          </w:tcPr>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Sclérose des plaques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Autisme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Attachement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Etat émotionnel des enfants cancéreux </w:t>
            </w:r>
          </w:p>
        </w:tc>
        <w:tc>
          <w:tcPr>
            <w:tcW w:w="2303" w:type="dxa"/>
          </w:tcPr>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Ennui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Etat émotionnel des enfants malades en rapport avec l’école.</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Le problème des acquisitions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L’absence des parents va-a-elle impacter le parcours scolaire de l’enfant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Le contrôle des parents.</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L’éducation des enfants.</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Le vocabulaire émotionnel chez une maman analphabète.</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La construction de l’être suivant les rites de la société algérienne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La communication au sein du groupe familial</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tc>
        <w:tc>
          <w:tcPr>
            <w:tcW w:w="2303" w:type="dxa"/>
          </w:tcPr>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L’idée que se fait l’élève de l’école.</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Comprendre les enjeux de l’école algérienne.</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Mentalité des enfants face aux produits multimédias.</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Mentalité de l’enfant placé entre deux espaces (société/ école).</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L’enfant et le Face book.</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Eduquer l’enfant ou les parents (JEAN- PIERRE POURTOIS°)</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rapport élève / enseignant.  </w:t>
            </w:r>
          </w:p>
        </w:tc>
        <w:tc>
          <w:tcPr>
            <w:tcW w:w="2303" w:type="dxa"/>
          </w:tcPr>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Burn- out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Souffrance au travail.</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Structure de travail et structure psychique des employés : Quelle compatibilité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Rapport responsable/ ouvrier dans un sens psychologique .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Conception de l’emploi et la mentalité des demandeurs d’emploi.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Crise financière et le psychique des populations. </w:t>
            </w:r>
          </w:p>
          <w:p w:rsidR="00E11F9C" w:rsidRDefault="00E11F9C" w:rsidP="00FC77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Structure sociale et notion de l’emploi à l’ère de la réforme. </w:t>
            </w:r>
          </w:p>
        </w:tc>
      </w:tr>
    </w:tbl>
    <w:p w:rsidR="00E11F9C" w:rsidRDefault="00E11F9C" w:rsidP="00E11F9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E11F9C" w:rsidRPr="00FB6300" w:rsidRDefault="00E11F9C" w:rsidP="00E11F9C">
      <w:pPr>
        <w:spacing w:line="360" w:lineRule="auto"/>
        <w:jc w:val="both"/>
        <w:rPr>
          <w:rFonts w:asciiTheme="majorBidi" w:hAnsiTheme="majorBidi" w:cstheme="majorBidi"/>
          <w:sz w:val="24"/>
          <w:szCs w:val="24"/>
        </w:rPr>
      </w:pPr>
    </w:p>
    <w:p w:rsidR="00037102" w:rsidRDefault="00AC798D"/>
    <w:sectPr w:rsidR="00037102" w:rsidSect="00811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98D" w:rsidRDefault="00AC798D" w:rsidP="00E11F9C">
      <w:pPr>
        <w:spacing w:after="0" w:line="240" w:lineRule="auto"/>
      </w:pPr>
      <w:r>
        <w:separator/>
      </w:r>
    </w:p>
  </w:endnote>
  <w:endnote w:type="continuationSeparator" w:id="1">
    <w:p w:rsidR="00AC798D" w:rsidRDefault="00AC798D" w:rsidP="00E1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98D" w:rsidRDefault="00AC798D" w:rsidP="00E11F9C">
      <w:pPr>
        <w:spacing w:after="0" w:line="240" w:lineRule="auto"/>
      </w:pPr>
      <w:r>
        <w:separator/>
      </w:r>
    </w:p>
  </w:footnote>
  <w:footnote w:type="continuationSeparator" w:id="1">
    <w:p w:rsidR="00AC798D" w:rsidRDefault="00AC798D" w:rsidP="00E11F9C">
      <w:pPr>
        <w:spacing w:after="0" w:line="240" w:lineRule="auto"/>
      </w:pPr>
      <w:r>
        <w:continuationSeparator/>
      </w:r>
    </w:p>
  </w:footnote>
  <w:footnote w:id="2">
    <w:p w:rsidR="00E11F9C" w:rsidRDefault="00E11F9C" w:rsidP="00E11F9C">
      <w:pPr>
        <w:pStyle w:val="Notedebasdepage"/>
      </w:pPr>
      <w:r>
        <w:rPr>
          <w:rStyle w:val="Appelnotedebasdep"/>
        </w:rPr>
        <w:footnoteRef/>
      </w:r>
      <w:r>
        <w:t xml:space="preserve"> Dans le jargon académique qui doit correspondre à l’idée Master , nous privilégions médiation entre moisson théorique et moisson pratique dont les thèmes de recherche qui sont à mettre en place en sont la forme la plus à banaliser  comme le résultat de cette réconciliation d’un point de vue de la recherche et la recherche scientifique.  </w:t>
      </w:r>
    </w:p>
  </w:footnote>
  <w:footnote w:id="3">
    <w:p w:rsidR="00E11F9C" w:rsidRDefault="00E11F9C" w:rsidP="00E11F9C">
      <w:pPr>
        <w:pStyle w:val="Notedebasdepage"/>
      </w:pPr>
      <w:r>
        <w:rPr>
          <w:rStyle w:val="Appelnotedebasdep"/>
        </w:rPr>
        <w:footnoteRef/>
      </w:r>
      <w:r>
        <w:t xml:space="preserve"> Un travail réflexif dont structure et aspect méthodologique sont les points clé qui marque davantage l’esprit du chercheur qui compte véritablement entamer une recherche liée à son domaine de recherche.</w:t>
      </w:r>
    </w:p>
  </w:footnote>
  <w:footnote w:id="4">
    <w:p w:rsidR="00E11F9C" w:rsidRDefault="00E11F9C" w:rsidP="00E11F9C">
      <w:pPr>
        <w:pStyle w:val="Notedebasdepage"/>
      </w:pPr>
      <w:r>
        <w:rPr>
          <w:rStyle w:val="Appelnotedebasdep"/>
        </w:rPr>
        <w:footnoteRef/>
      </w:r>
      <w:r>
        <w:t xml:space="preserve"> Thématisation  le fait de forger ou de donner à une quelconque situation un nom connu sous le nom de « Thème » est le caractère ainsi forgé après avoir pris décision de passer au traitement sous un angle lié à la recherche de l’information placée dans un contexte. Thème de recherche pris dans une forme de recherche selon les modalités les plus à appliquer en psychologie, quant à la méthodologie à mettre en œuvre, elle doit véritablement être clarifiée sur la base des éléments qui sont à enchainer selon un rituel dit « rituel de recherche académique scrupuleusement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E11F9C"/>
    <w:rsid w:val="00943EC3"/>
    <w:rsid w:val="00AC798D"/>
    <w:rsid w:val="00C052C5"/>
    <w:rsid w:val="00E11F9C"/>
    <w:rsid w:val="00EE62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1F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11F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1F9C"/>
    <w:rPr>
      <w:sz w:val="20"/>
      <w:szCs w:val="20"/>
    </w:rPr>
  </w:style>
  <w:style w:type="character" w:styleId="Appelnotedebasdep">
    <w:name w:val="footnote reference"/>
    <w:basedOn w:val="Policepardfaut"/>
    <w:uiPriority w:val="99"/>
    <w:semiHidden/>
    <w:unhideWhenUsed/>
    <w:rsid w:val="00E11F9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6777</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2023-04-30T13:29:00Z</dcterms:created>
  <dcterms:modified xsi:type="dcterms:W3CDTF">2023-04-30T13:29:00Z</dcterms:modified>
</cp:coreProperties>
</file>